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1"/>
    <w:p>
      <w:pPr>
        <w:pStyle w:val="Heading1"/>
      </w:pPr>
      <w:r>
        <w:t xml:space="preserve">Homiletics Analysis: 2 Kings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21 presents two reigns that together constitute the theological nadir of Judah’s monarchic history: Manasseh (vv. 1–18) and his son Amon (vv. 19–26). Manasseh’s fifty-five-year reign is catalogued with relentless specificity — he rebuilt the high places his father Hezekiah had destroyed, erected altars to Baal, made an Asherah pole, worshiped the starry hosts, desecrated the temple by placing pagan altars within its courts, sacrificed his own son in the fire, practiced sorcery and divination, consulted mediums and spiritists, and erected an idol in the very house where the LORD had promised to put His name forever. The narrator lingers on the temple’s defilement because it signals the reversal of everything Solomon’s construction represented. Manasseh is measured against Ahab, against the nations driven out before Israel, and against his own father — every comparison damning. The LORD’s response (vv. 10–15) is a devastating verdict: because Manasseh has led Judah into sin worse than the Amorites, the LORD will bring upon Jerusalem a disaster so complete that those who hear of it will have their ears tingle. The city will be wiped clean as one wipes a dish. The remnant will be given into the hands of their enemies. Manasseh’s personal guilt is then compounded: he also shed innocent blood so profusely that he filled Jerusalem from end to end. Amon’s brief two-year reign (vv. 19–26) mirrors Manasseh’s pattern without even Manasseh’s eventual repentance (chronicled in 2 Chronicles 33 but absent here), and he is assassinated by his own servants, making him the most ignominious of Judah’s kings. The chapter ends not with hope but with the installation of Josiah — whose coming reforms cannot, the reader already senses, undo what has been set in motion.</w:t>
      </w:r>
    </w:p>
    <w:p>
      <w:pPr>
        <w:pStyle w:val="BodyText"/>
      </w:pPr>
      <w:r>
        <w:rPr>
          <w:b/>
          <w:bCs/>
        </w:rPr>
        <w:t xml:space="preserve">This Text — Intent</w:t>
      </w:r>
    </w:p>
    <w:p>
      <w:pPr>
        <w:pStyle w:val="BodyText"/>
      </w:pPr>
      <w:r>
        <w:t xml:space="preserve">God’s intent through this passage is to establish with unflinching seriousness that covenant apostasy accumulates, that leadership sin has catastrophic generational consequences, and that divine patience is not divine indifference. The passage is not primarily a biography of a wicked king — it is a prophetic diagnosis of why exile is both just and inevitable. God is pressing upon the reader the weight of covenantal accountability: sin against covenant light is sin in a category of its own; it does not merely harm the sinner but destroys communities and generations; and the LORD who promised blessing is equally committed to the curses He promised for rebellion. The intent is also pastoral in its severity — readers who wonder whether God takes sin seriously, whether apostasy has real consequences, or whether accumulated wickedness can be ignored by a patient God are given an unmistakable answer.</w:t>
      </w:r>
    </w:p>
    <w:p>
      <w:r>
        <w:pict>
          <v:rect style="width:0;height:1.5pt" o:hralign="center" o:hrstd="t" o:hr="t"/>
        </w:pict>
      </w:r>
    </w:p>
    <w:p>
      <w:pPr>
        <w:pStyle w:val="FirstParagraph"/>
      </w:pPr>
      <w:r>
        <w:rPr>
          <w:b/>
          <w:bCs/>
        </w:rPr>
        <w:t xml:space="preserve">Subject Sentence:</w:t>
      </w:r>
      <w:r>
        <w:t xml:space="preserve"> </w:t>
      </w:r>
      <w:r>
        <w:t xml:space="preserve">Manasseh’s catastrophic apostasy seals Judah’s fate and demonstrates that covenant rebellion cannot be endlessly deferred.</w:t>
      </w:r>
    </w:p>
    <w:p>
      <w:r>
        <w:pict>
          <v:rect style="width:0;height:1.5pt" o:hralign="center" o:hrstd="t" o:hr="t"/>
        </w:pict>
      </w:r>
    </w:p>
    <w:p>
      <w:pPr>
        <w:pStyle w:val="FirstParagraph"/>
      </w:pPr>
      <w:r>
        <w:rPr>
          <w:b/>
          <w:bCs/>
        </w:rPr>
        <w:t xml:space="preserve">Primary Claim:</w:t>
      </w:r>
      <w:r>
        <w:t xml:space="preserve"> </w:t>
      </w:r>
      <w:r>
        <w:t xml:space="preserve">God is establishing through this passage that covenant sin — especially sin by covenant leaders — carries consequences that accumulate beyond any individual’s life, that divine patience should never be mistaken for divine permission, and that the LORD is utterly serious about His house, His name, and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Manasseh’s Repentance (2 Chronicles 33)</w:t>
      </w:r>
    </w:p>
    <w:p>
      <w:pPr>
        <w:pStyle w:val="BodyText"/>
      </w:pPr>
      <w:r>
        <w:t xml:space="preserve">The most significant interpretive issue in 2 Kings 21 is what is not there. Second Chronicles 33:10–17 records that Manasseh was taken captive to Babylon, humbled himself, prayed, and was restored — a remarkable account of late repentance. Second Kings 21 contains none of this. How do these accounts relate?</w:t>
      </w:r>
    </w:p>
    <w:p>
      <w:pPr>
        <w:pStyle w:val="BodyText"/>
      </w:pPr>
      <w:r>
        <w:t xml:space="preserve">The Reformed reading does not treat this as a contradiction but as a canonical division of labor: Kings is written from a prophetic-historical standpoint concerned with tracing the theological reasons for exile; Chronicles is written from a priestly-restorative standpoint concerned with Davidic covenant hope and the possibility of repentance at any stage. Kings focuses on Manasseh’s reign as the turning point for national judgment — his sin and the sins he institutionalized persisted beyond any personal repentance, as the LORD’s oracle in vv. 10–15 makes plain. Even if Manasseh repented, he had seduced an entire nation into patterns of idolatry and violence that outlasted him. The text itself (v. 9,</w:t>
      </w:r>
      <w:r>
        <w:t xml:space="preserve"> </w:t>
      </w:r>
      <w:r>
        <w:t xml:space="preserve">“Manasseh led them astray”</w:t>
      </w:r>
      <w:r>
        <w:t xml:space="preserve">) and Jeremiah 15:4 (</w:t>
      </w:r>
      <w:r>
        <w:t xml:space="preserve">“I will make them abhorrent to all the kingdoms of the earth because of what Manasseh son of Hezekiah king of Judah did in Jerusalem”</w:t>
      </w:r>
      <w:r>
        <w:t xml:space="preserve">) confirm this reading. The judgment is not simply on Manasseh’s soul — it is on the trajectory he set for a people. The appropriate response is to acknowledge the Chronicles account as historically accurate while insisting that Kings is making a distinct and necessary theological claim: personal repentance does not automatically reverse institutionalized apostasy or its covenantal consequences.</w:t>
      </w:r>
    </w:p>
    <w:p>
      <w:pPr>
        <w:pStyle w:val="BodyText"/>
      </w:pPr>
      <w:r>
        <w:t xml:space="preserve">Wesleyan/Arminian traditions sometimes use 2 Chronicles 33 to emphasize individual salvific repentance at any point in life — a legitimate application of that text but one that must not be imported into 2 Kings 21 in a way that softens the passage’s primary claim. The Kings text is not addressing the question of Manasseh’s eternal destiny; it is addressing the national and covenantal consequences of decades of institutionalized rebellion.</w:t>
      </w:r>
    </w:p>
    <w:p>
      <w:pPr>
        <w:pStyle w:val="BodyText"/>
      </w:pPr>
      <w:r>
        <w:rPr>
          <w:b/>
          <w:bCs/>
        </w:rPr>
        <w:t xml:space="preserve">Manasseh as Typological Parallel to Ahab</w:t>
      </w:r>
    </w:p>
    <w:p>
      <w:pPr>
        <w:pStyle w:val="BodyText"/>
      </w:pPr>
      <w:r>
        <w:t xml:space="preserve">The text explicitly compares Manasseh to Ahab (v. 3) — the gold standard of northern apostasy. Some dispensational interpreters treat this as a Deuteronomistic literary formula (part of the Kings narrator’s evaluative template) with limited theological freight. The Reformed reading resists this minimization: the Ahab comparison is not merely a literary convention but a substantive theological verdict. Ahab’s dynasty was destroyed precisely for what Ahab did; the comparison signals that Judah is now on the same trajectory as the northern kingdom. The reader who knows the Kings narrative knows what happened to Ahab. The comparison is an ominous prophecy as much as a historical evaluation.</w:t>
      </w:r>
    </w:p>
    <w:p>
      <w:pPr>
        <w:pStyle w:val="BodyText"/>
      </w:pPr>
      <w:r>
        <w:rPr>
          <w:b/>
          <w:bCs/>
        </w:rPr>
        <w:t xml:space="preserve">The Innocent Blood of Verse 16</w:t>
      </w:r>
    </w:p>
    <w:p>
      <w:pPr>
        <w:pStyle w:val="BodyText"/>
      </w:pPr>
      <w:r>
        <w:t xml:space="preserve">The reference to innocent blood filling Jerusalem</w:t>
      </w:r>
      <w:r>
        <w:t xml:space="preserve"> </w:t>
      </w:r>
      <w:r>
        <w:t xml:space="preserve">“from end to end”</w:t>
      </w:r>
      <w:r>
        <w:t xml:space="preserve"> </w:t>
      </w:r>
      <w:r>
        <w:t xml:space="preserve">has prompted two readings: (a) judicial/political murders of those who opposed Manasseh’s apostasy, possibly including prophets (Jewish tradition suggests Isaiah was martyred under Manasseh), and (b) the blood of children sacrificed in the fire (v. 6). Both may be in view. The Reformed reading sees this as a cumulative description — Manasseh’s reign represents total societal corruption, violence against both God’s covenant people and the most vulnerable. The Christological resonance — innocent blood shed by a covenant king — is worth noting in preaching, though it should not be allegorized too directly.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Moses pronounced for precisely this kind of wholesale apostasy; what 2 Kings 21 narrates is Deuteronomy 28 becoming history. The LORD is not acting arbitrarily — He is keeping promises.</w:t>
      </w:r>
    </w:p>
    <w:p>
      <w:pPr>
        <w:numPr>
          <w:ilvl w:val="0"/>
          <w:numId w:val="1001"/>
        </w:numPr>
      </w:pPr>
      <w:r>
        <w:rPr>
          <w:b/>
          <w:bCs/>
        </w:rPr>
        <w:t xml:space="preserve">Jeremiah 15:1–4</w:t>
      </w:r>
      <w:r>
        <w:t xml:space="preserve"> </w:t>
      </w:r>
      <w:r>
        <w:t xml:space="preserve">— God explicitly cites Manasseh as the cause of Judah’s impending judgment, making clear that the exile announced in 2 Kings 21 is still the operating framework even in Jeremiah’s generation — decades later.</w:t>
      </w:r>
    </w:p>
    <w:p>
      <w:pPr>
        <w:numPr>
          <w:ilvl w:val="0"/>
          <w:numId w:val="1001"/>
        </w:numPr>
      </w:pPr>
      <w:r>
        <w:rPr>
          <w:b/>
          <w:bCs/>
        </w:rPr>
        <w:t xml:space="preserve">1 Kings 16:29–33 (Ahab)</w:t>
      </w:r>
      <w:r>
        <w:t xml:space="preserve"> </w:t>
      </w:r>
      <w:r>
        <w:t xml:space="preserve">— The explicit comparison in 2 Kings 21:3 requires reading Manasseh against Ahab’s portrait; Ahab’s dynasty was annihilated as a direct consequence of his idolatry, establishing the trajectory 2 Kings 21 places Judah on.</w:t>
      </w:r>
    </w:p>
    <w:p>
      <w:pPr>
        <w:numPr>
          <w:ilvl w:val="0"/>
          <w:numId w:val="1001"/>
        </w:numPr>
      </w:pPr>
      <w:r>
        <w:rPr>
          <w:b/>
          <w:bCs/>
        </w:rPr>
        <w:t xml:space="preserve">Romans 1:18–32</w:t>
      </w:r>
      <w:r>
        <w:t xml:space="preserve"> </w:t>
      </w:r>
      <w:r>
        <w:t xml:space="preserve">— The pattern of suppressing truth, exchanging the glory of God for idols, and descending into deepening moral corruption is the universal anthropological dynamic that 2 Kings 21 narrates historically and specifically. Manasseh’s reign is Romans 1 at the level of a nation.</w:t>
      </w:r>
    </w:p>
    <w:p>
      <w:pPr>
        <w:numPr>
          <w:ilvl w:val="0"/>
          <w:numId w:val="1001"/>
        </w:numPr>
      </w:pPr>
      <w:r>
        <w:rPr>
          <w:b/>
          <w:bCs/>
        </w:rPr>
        <w:t xml:space="preserve">Lamentations 1–2</w:t>
      </w:r>
      <w:r>
        <w:t xml:space="preserve"> </w:t>
      </w:r>
      <w:r>
        <w:t xml:space="preserve">— The exile that 2 Kings 21:10–15 announces arrives in Lamentations; the book of tears is the consequence of the wickedness described in 2 Kings 21, giving the announced judgment its full emotional and theological weight.</w:t>
      </w:r>
    </w:p>
    <w:p>
      <w:r>
        <w:pict>
          <v:rect style="width:0;height:1.5pt" o:hralign="center" o:hrstd="t" o:hr="t"/>
        </w:pict>
      </w:r>
    </w:p>
    <w:p>
      <w:pPr>
        <w:pStyle w:val="FirstParagraph"/>
      </w:pPr>
      <w:r>
        <w:rPr>
          <w:b/>
          <w:bCs/>
        </w:rPr>
        <w:t xml:space="preserve">Aim:</w:t>
      </w:r>
      <w:r>
        <w:t xml:space="preserve"> </w:t>
      </w:r>
      <w:r>
        <w:t xml:space="preserve">To confront readers with the seriousness of covenant accountability — particularly for those in leadership — and to establish that God’s patience has purpose and limits, and that sin’s consequences are never contained to the individual sinner.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Manasseh’s age and reign length introduced — 12 years old at accession, 55-year reign</w:t>
            </w:r>
          </w:p>
        </w:tc>
        <w:tc>
          <w:tcPr/>
          <w:p>
            <w:pPr>
              <w:pStyle w:val="Compact"/>
            </w:pPr>
            <w:r>
              <w:t xml:space="preserve">Longest reign in Judah; his youth at accession contextualizes early influence of court advisors</w:t>
            </w:r>
          </w:p>
        </w:tc>
      </w:tr>
      <w:tr>
        <w:tc>
          <w:tcPr/>
          <w:p>
            <w:pPr>
              <w:pStyle w:val="Compact"/>
            </w:pPr>
            <w:r>
              <w:t xml:space="preserve">2</w:t>
            </w:r>
          </w:p>
        </w:tc>
        <w:tc>
          <w:tcPr/>
          <w:p>
            <w:pPr>
              <w:pStyle w:val="Compact"/>
            </w:pPr>
            <w:r>
              <w:t xml:space="preserve">Evaluative summary — did evil in the eyes of the LORD, following detestable practices of displaced nations</w:t>
            </w:r>
          </w:p>
        </w:tc>
        <w:tc>
          <w:tcPr/>
          <w:p>
            <w:pPr>
              <w:pStyle w:val="Compact"/>
            </w:pPr>
            <w:r>
              <w:t xml:space="preserve">The nations language invokes Deuteronomy; he does what those nations did, reversing the conquest’s purpose</w:t>
            </w:r>
          </w:p>
        </w:tc>
      </w:tr>
      <w:tr>
        <w:tc>
          <w:tcPr/>
          <w:p>
            <w:pPr>
              <w:pStyle w:val="Compact"/>
            </w:pPr>
            <w:r>
              <w:t xml:space="preserve">3</w:t>
            </w:r>
          </w:p>
        </w:tc>
        <w:tc>
          <w:tcPr/>
          <w:p>
            <w:pPr>
              <w:pStyle w:val="Compact"/>
            </w:pPr>
            <w:r>
              <w:t xml:space="preserve">Rebuilt high places Hezekiah destroyed; erected Baal altars; made Asherah pole; worshiped starry hosts</w:t>
            </w:r>
          </w:p>
        </w:tc>
        <w:tc>
          <w:tcPr/>
          <w:p>
            <w:pPr>
              <w:pStyle w:val="Compact"/>
            </w:pPr>
            <w:r>
              <w:t xml:space="preserve">Each item is a deliberate reversal of Hezekiah’s reforms; Ahab comparison introduced explicitly</w:t>
            </w:r>
          </w:p>
        </w:tc>
      </w:tr>
      <w:tr>
        <w:tc>
          <w:tcPr/>
          <w:p>
            <w:pPr>
              <w:pStyle w:val="Compact"/>
            </w:pPr>
            <w:r>
              <w:t xml:space="preserve">4–5</w:t>
            </w:r>
          </w:p>
        </w:tc>
        <w:tc>
          <w:tcPr/>
          <w:p>
            <w:pPr>
              <w:pStyle w:val="Compact"/>
            </w:pPr>
            <w:r>
              <w:t xml:space="preserve">Built altars in the temple itself — for starry hosts in both courts</w:t>
            </w:r>
          </w:p>
        </w:tc>
        <w:tc>
          <w:tcPr/>
          <w:p>
            <w:pPr>
              <w:pStyle w:val="Compact"/>
            </w:pPr>
            <w:r>
              <w:t xml:space="preserve">The desecration escalates to the holy place — sacred space corrupted</w:t>
            </w:r>
          </w:p>
        </w:tc>
      </w:tr>
      <w:tr>
        <w:tc>
          <w:tcPr/>
          <w:p>
            <w:pPr>
              <w:pStyle w:val="Compact"/>
            </w:pPr>
            <w:r>
              <w:t xml:space="preserve">6</w:t>
            </w:r>
          </w:p>
        </w:tc>
        <w:tc>
          <w:tcPr/>
          <w:p>
            <w:pPr>
              <w:pStyle w:val="Compact"/>
            </w:pPr>
            <w:r>
              <w:t xml:space="preserve">Sacrificed his own son in fire; practiced sorcery and divination; consulted mediums and spiritists</w:t>
            </w:r>
          </w:p>
        </w:tc>
        <w:tc>
          <w:tcPr/>
          <w:p>
            <w:pPr>
              <w:pStyle w:val="Compact"/>
            </w:pPr>
            <w:r>
              <w:t xml:space="preserve">This verse is the enumerated peak of individual sin — every item forbidden in the law</w:t>
            </w:r>
          </w:p>
        </w:tc>
      </w:tr>
      <w:tr>
        <w:tc>
          <w:tcPr/>
          <w:p>
            <w:pPr>
              <w:pStyle w:val="Compact"/>
            </w:pPr>
            <w:r>
              <w:t xml:space="preserve">7</w:t>
            </w:r>
          </w:p>
        </w:tc>
        <w:tc>
          <w:tcPr/>
          <w:p>
            <w:pPr>
              <w:pStyle w:val="Compact"/>
            </w:pPr>
            <w:r>
              <w:t xml:space="preserve">Carved Asherah pole placed in the temple — in the house God designated as His name’s dwelling</w:t>
            </w:r>
          </w:p>
        </w:tc>
        <w:tc>
          <w:tcPr/>
          <w:p>
            <w:pPr>
              <w:pStyle w:val="Compact"/>
            </w:pPr>
            <w:r>
              <w:t xml:space="preserve">The outrage is sharpened: this is not a high place but the temple; God’s name-presence is directly affronted</w:t>
            </w:r>
          </w:p>
        </w:tc>
      </w:tr>
      <w:tr>
        <w:tc>
          <w:tcPr/>
          <w:p>
            <w:pPr>
              <w:pStyle w:val="Compact"/>
            </w:pPr>
            <w:r>
              <w:t xml:space="preserve">8</w:t>
            </w:r>
          </w:p>
        </w:tc>
        <w:tc>
          <w:tcPr/>
          <w:p>
            <w:pPr>
              <w:pStyle w:val="Compact"/>
            </w:pPr>
            <w:r>
              <w:t xml:space="preserve">God’s prior promise — conditional covenant land tenure contingent on obedience to the law through Moses</w:t>
            </w:r>
          </w:p>
        </w:tc>
        <w:tc>
          <w:tcPr/>
          <w:p>
            <w:pPr>
              <w:pStyle w:val="Compact"/>
            </w:pPr>
            <w:r>
              <w:t xml:space="preserve">The narrator provides the covenantal baseline against which Manasseh is being measured</w:t>
            </w:r>
          </w:p>
        </w:tc>
      </w:tr>
      <w:tr>
        <w:tc>
          <w:tcPr/>
          <w:p>
            <w:pPr>
              <w:pStyle w:val="Compact"/>
            </w:pPr>
            <w:r>
              <w:t xml:space="preserve">9</w:t>
            </w:r>
          </w:p>
        </w:tc>
        <w:tc>
          <w:tcPr/>
          <w:p>
            <w:pPr>
              <w:pStyle w:val="Compact"/>
            </w:pPr>
            <w:r>
              <w:t xml:space="preserve">“But they did not listen”</w:t>
            </w:r>
            <w:r>
              <w:t xml:space="preserve"> </w:t>
            </w:r>
            <w:r>
              <w:t xml:space="preserve">— Manasseh led the people astray; they exceeded the nations God destroyed</w:t>
            </w:r>
          </w:p>
        </w:tc>
        <w:tc>
          <w:tcPr/>
          <w:p>
            <w:pPr>
              <w:pStyle w:val="Compact"/>
            </w:pPr>
            <w:r>
              <w:t xml:space="preserve">The sin is corporate, not merely individual; and the comparison now exceeds the Amorites at their worst</w:t>
            </w:r>
          </w:p>
        </w:tc>
      </w:tr>
      <w:tr>
        <w:tc>
          <w:tcPr/>
          <w:p>
            <w:pPr>
              <w:pStyle w:val="Compact"/>
            </w:pPr>
            <w:r>
              <w:t xml:space="preserve">10–11</w:t>
            </w:r>
          </w:p>
        </w:tc>
        <w:tc>
          <w:tcPr/>
          <w:p>
            <w:pPr>
              <w:pStyle w:val="Compact"/>
            </w:pPr>
            <w:r>
              <w:t xml:space="preserve">The LORD speaks through His servants the prophets — introduction of the divine verdict</w:t>
            </w:r>
          </w:p>
        </w:tc>
        <w:tc>
          <w:tcPr/>
          <w:p>
            <w:pPr>
              <w:pStyle w:val="Compact"/>
            </w:pPr>
            <w:r>
              <w:t xml:space="preserve">The prophetic word is the LORD’s response to apostasy; He does not act in silence</w:t>
            </w:r>
          </w:p>
        </w:tc>
      </w:tr>
      <w:tr>
        <w:tc>
          <w:tcPr/>
          <w:p>
            <w:pPr>
              <w:pStyle w:val="Compact"/>
            </w:pPr>
            <w:r>
              <w:t xml:space="preserve">12</w:t>
            </w:r>
          </w:p>
        </w:tc>
        <w:tc>
          <w:tcPr/>
          <w:p>
            <w:pPr>
              <w:pStyle w:val="Compact"/>
            </w:pPr>
            <w:r>
              <w:t xml:space="preserve">Disaster announced — such that it will make ears tingle</w:t>
            </w:r>
          </w:p>
        </w:tc>
        <w:tc>
          <w:tcPr/>
          <w:p>
            <w:pPr>
              <w:pStyle w:val="Compact"/>
            </w:pPr>
            <w:r>
              <w:t xml:space="preserve">The idiom signals a uniquely catastrophic judgment</w:t>
            </w:r>
          </w:p>
        </w:tc>
      </w:tr>
      <w:tr>
        <w:tc>
          <w:tcPr/>
          <w:p>
            <w:pPr>
              <w:pStyle w:val="Compact"/>
            </w:pPr>
            <w:r>
              <w:t xml:space="preserve">13</w:t>
            </w:r>
          </w:p>
        </w:tc>
        <w:tc>
          <w:tcPr/>
          <w:p>
            <w:pPr>
              <w:pStyle w:val="Compact"/>
            </w:pPr>
            <w:r>
              <w:t xml:space="preserve">Jerusalem will be wiped clean as a dish — measuring line of Samaria, plumb line of Ahab’s house</w:t>
            </w:r>
          </w:p>
        </w:tc>
        <w:tc>
          <w:tcPr/>
          <w:p>
            <w:pPr>
              <w:pStyle w:val="Compact"/>
            </w:pPr>
            <w:r>
              <w:t xml:space="preserve">Samaria’s fate becomes Judah’s fate; the wipe-clean image is thorough, not partial</w:t>
            </w:r>
          </w:p>
        </w:tc>
      </w:tr>
      <w:tr>
        <w:tc>
          <w:tcPr/>
          <w:p>
            <w:pPr>
              <w:pStyle w:val="Compact"/>
            </w:pPr>
            <w:r>
              <w:t xml:space="preserve">14</w:t>
            </w:r>
          </w:p>
        </w:tc>
        <w:tc>
          <w:tcPr/>
          <w:p>
            <w:pPr>
              <w:pStyle w:val="Compact"/>
            </w:pPr>
            <w:r>
              <w:t xml:space="preserve">The remnant given into enemies’ hands — plunder and prey</w:t>
            </w:r>
          </w:p>
        </w:tc>
        <w:tc>
          <w:tcPr/>
          <w:p>
            <w:pPr>
              <w:pStyle w:val="Compact"/>
            </w:pPr>
            <w:r>
              <w:t xml:space="preserve">Covenantal abandonment: God will hand over what He had pledged to protect</w:t>
            </w:r>
          </w:p>
        </w:tc>
      </w:tr>
      <w:tr>
        <w:tc>
          <w:tcPr/>
          <w:p>
            <w:pPr>
              <w:pStyle w:val="Compact"/>
            </w:pPr>
            <w:r>
              <w:t xml:space="preserve">15</w:t>
            </w:r>
          </w:p>
        </w:tc>
        <w:tc>
          <w:tcPr/>
          <w:p>
            <w:pPr>
              <w:pStyle w:val="Compact"/>
            </w:pPr>
            <w:r>
              <w:t xml:space="preserve">Because they provoked the LORD since Egypt — the sin is ancient and accumulated, now reaching full measure</w:t>
            </w:r>
          </w:p>
        </w:tc>
        <w:tc>
          <w:tcPr/>
          <w:p>
            <w:pPr>
              <w:pStyle w:val="Compact"/>
            </w:pPr>
            <w:r>
              <w:t xml:space="preserve">The sin of Manasseh is not isolated but the culmination of a long pattern; judgment is proportionate</w:t>
            </w:r>
          </w:p>
        </w:tc>
      </w:tr>
      <w:tr>
        <w:tc>
          <w:tcPr/>
          <w:p>
            <w:pPr>
              <w:pStyle w:val="Compact"/>
            </w:pPr>
            <w:r>
              <w:t xml:space="preserve">16</w:t>
            </w:r>
          </w:p>
        </w:tc>
        <w:tc>
          <w:tcPr/>
          <w:p>
            <w:pPr>
              <w:pStyle w:val="Compact"/>
            </w:pPr>
            <w:r>
              <w:t xml:space="preserve">Manasseh shed innocent blood, filling Jerusalem end to end — compounding covenant with civic evil</w:t>
            </w:r>
          </w:p>
        </w:tc>
        <w:tc>
          <w:tcPr/>
          <w:p>
            <w:pPr>
              <w:pStyle w:val="Compact"/>
            </w:pPr>
            <w:r>
              <w:t xml:space="preserve">This verse extends guilt beyond idolatry to injustice — the two categories of prophetic accusation throughout</w:t>
            </w:r>
          </w:p>
        </w:tc>
      </w:tr>
      <w:tr>
        <w:tc>
          <w:tcPr/>
          <w:p>
            <w:pPr>
              <w:pStyle w:val="Compact"/>
            </w:pPr>
            <w:r>
              <w:t xml:space="preserve">17–18</w:t>
            </w:r>
          </w:p>
        </w:tc>
        <w:tc>
          <w:tcPr/>
          <w:p>
            <w:pPr>
              <w:pStyle w:val="Compact"/>
            </w:pPr>
            <w:r>
              <w:t xml:space="preserve">Closing regnal formula for Manasseh; death and burial; Amon succeeds</w:t>
            </w:r>
          </w:p>
        </w:tc>
        <w:tc>
          <w:tcPr/>
          <w:p>
            <w:pPr>
              <w:pStyle w:val="Compact"/>
            </w:pPr>
            <w:r>
              <w:t xml:space="preserve">Standard formula, but burial</w:t>
            </w:r>
            <w:r>
              <w:t xml:space="preserve"> </w:t>
            </w:r>
            <w:r>
              <w:t xml:space="preserve">“in the garden of his palace”</w:t>
            </w:r>
            <w:r>
              <w:t xml:space="preserve"> </w:t>
            </w:r>
            <w:r>
              <w:t xml:space="preserve">(not with the kings) signals diminishment</w:t>
            </w:r>
          </w:p>
        </w:tc>
      </w:tr>
      <w:tr>
        <w:tc>
          <w:tcPr/>
          <w:p>
            <w:pPr>
              <w:pStyle w:val="Compact"/>
            </w:pPr>
            <w:r>
              <w:t xml:space="preserve">19</w:t>
            </w:r>
          </w:p>
        </w:tc>
        <w:tc>
          <w:tcPr/>
          <w:p>
            <w:pPr>
              <w:pStyle w:val="Compact"/>
            </w:pPr>
            <w:r>
              <w:t xml:space="preserve">Amon’s age at accession and two-year reign introduced</w:t>
            </w:r>
          </w:p>
        </w:tc>
        <w:tc>
          <w:tcPr/>
          <w:p>
            <w:pPr>
              <w:pStyle w:val="Compact"/>
            </w:pPr>
            <w:r>
              <w:t xml:space="preserve">Two years — the shortest reign of any Judean king alongside Jehoahaz</w:t>
            </w:r>
          </w:p>
        </w:tc>
      </w:tr>
      <w:tr>
        <w:tc>
          <w:tcPr/>
          <w:p>
            <w:pPr>
              <w:pStyle w:val="Compact"/>
            </w:pPr>
            <w:r>
              <w:t xml:space="preserve">20–22</w:t>
            </w:r>
          </w:p>
        </w:tc>
        <w:tc>
          <w:tcPr/>
          <w:p>
            <w:pPr>
              <w:pStyle w:val="Compact"/>
            </w:pPr>
            <w:r>
              <w:t xml:space="preserve">Evaluative summary for Amon — same verdict as Manasseh; walked in all his father’s ways; abandoned the LORD</w:t>
            </w:r>
          </w:p>
        </w:tc>
        <w:tc>
          <w:tcPr/>
          <w:p>
            <w:pPr>
              <w:pStyle w:val="Compact"/>
            </w:pPr>
            <w:r>
              <w:t xml:space="preserve">No independent assessment — Amon is his father without even the Chronicles repentance</w:t>
            </w:r>
          </w:p>
        </w:tc>
      </w:tr>
      <w:tr>
        <w:tc>
          <w:tcPr/>
          <w:p>
            <w:pPr>
              <w:pStyle w:val="Compact"/>
            </w:pPr>
            <w:r>
              <w:t xml:space="preserve">23</w:t>
            </w:r>
          </w:p>
        </w:tc>
        <w:tc>
          <w:tcPr/>
          <w:p>
            <w:pPr>
              <w:pStyle w:val="Compact"/>
            </w:pPr>
            <w:r>
              <w:t xml:space="preserve">Amon’s officials conspire against him and assassinate him in his own palace</w:t>
            </w:r>
          </w:p>
        </w:tc>
        <w:tc>
          <w:tcPr/>
          <w:p>
            <w:pPr>
              <w:pStyle w:val="Compact"/>
            </w:pPr>
            <w:r>
              <w:t xml:space="preserve">The consequence is immediate domestic collapse — sin has reached the palace itself</w:t>
            </w:r>
          </w:p>
        </w:tc>
      </w:tr>
      <w:tr>
        <w:tc>
          <w:tcPr/>
          <w:p>
            <w:pPr>
              <w:pStyle w:val="Compact"/>
            </w:pPr>
            <w:r>
              <w:t xml:space="preserve">24</w:t>
            </w:r>
          </w:p>
        </w:tc>
        <w:tc>
          <w:tcPr/>
          <w:p>
            <w:pPr>
              <w:pStyle w:val="Compact"/>
            </w:pPr>
            <w:r>
              <w:t xml:space="preserve">The people of the land kill Amon’s assassins and install Josiah</w:t>
            </w:r>
          </w:p>
        </w:tc>
        <w:tc>
          <w:tcPr/>
          <w:p>
            <w:pPr>
              <w:pStyle w:val="Compact"/>
            </w:pPr>
            <w:r>
              <w:t xml:space="preserve">The</w:t>
            </w:r>
            <w:r>
              <w:t xml:space="preserve"> </w:t>
            </w:r>
            <w:r>
              <w:t xml:space="preserve">“people of the land”</w:t>
            </w:r>
            <w:r>
              <w:t xml:space="preserve"> </w:t>
            </w:r>
            <w:r>
              <w:t xml:space="preserve">— a technical term for landed Judean freeholders — act as kingmakers</w:t>
            </w:r>
          </w:p>
        </w:tc>
      </w:tr>
      <w:tr>
        <w:tc>
          <w:tcPr/>
          <w:p>
            <w:pPr>
              <w:pStyle w:val="Compact"/>
            </w:pPr>
            <w:r>
              <w:t xml:space="preserve">25–26</w:t>
            </w:r>
          </w:p>
        </w:tc>
        <w:tc>
          <w:tcPr/>
          <w:p>
            <w:pPr>
              <w:pStyle w:val="Compact"/>
            </w:pPr>
            <w:r>
              <w:t xml:space="preserve">Closing regnal formula for Amon; burial in the garden of Uzza</w:t>
            </w:r>
          </w:p>
        </w:tc>
        <w:tc>
          <w:tcPr/>
          <w:p>
            <w:pPr>
              <w:pStyle w:val="Compact"/>
            </w:pPr>
            <w:r>
              <w:t xml:space="preserve">The burial location (not in the royal sepulchres) continues the pattern of diminishment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Manasseh’s Reign: The Anatomy of Apostasy</w:t>
            </w:r>
          </w:p>
        </w:tc>
      </w:tr>
      <w:tr>
        <w:tc>
          <w:tcPr/>
          <w:p>
            <w:pPr>
              <w:pStyle w:val="Compact"/>
            </w:pPr>
            <w:r>
              <w:t xml:space="preserve">2</w:t>
            </w:r>
          </w:p>
        </w:tc>
        <w:tc>
          <w:tcPr/>
          <w:p>
            <w:pPr>
              <w:pStyle w:val="Compact"/>
            </w:pPr>
            <w:r>
              <w:t xml:space="preserve">10–16</w:t>
            </w:r>
          </w:p>
        </w:tc>
        <w:tc>
          <w:tcPr/>
          <w:p>
            <w:pPr>
              <w:pStyle w:val="Compact"/>
            </w:pPr>
            <w:r>
              <w:t xml:space="preserve">The LORD’s Verdict: Judgment Announced and Justified</w:t>
            </w:r>
          </w:p>
        </w:tc>
      </w:tr>
      <w:tr>
        <w:tc>
          <w:tcPr/>
          <w:p>
            <w:pPr>
              <w:pStyle w:val="Compact"/>
            </w:pPr>
            <w:r>
              <w:t xml:space="preserve">3</w:t>
            </w:r>
          </w:p>
        </w:tc>
        <w:tc>
          <w:tcPr/>
          <w:p>
            <w:pPr>
              <w:pStyle w:val="Compact"/>
            </w:pPr>
            <w:r>
              <w:t xml:space="preserve">17–18</w:t>
            </w:r>
          </w:p>
        </w:tc>
        <w:tc>
          <w:tcPr/>
          <w:p>
            <w:pPr>
              <w:pStyle w:val="Compact"/>
            </w:pPr>
            <w:r>
              <w:t xml:space="preserve">Manasseh’s End: Regnal Formula and Succession</w:t>
            </w:r>
          </w:p>
        </w:tc>
      </w:tr>
      <w:tr>
        <w:tc>
          <w:tcPr/>
          <w:p>
            <w:pPr>
              <w:pStyle w:val="Compact"/>
            </w:pPr>
            <w:r>
              <w:t xml:space="preserve">4</w:t>
            </w:r>
          </w:p>
        </w:tc>
        <w:tc>
          <w:tcPr/>
          <w:p>
            <w:pPr>
              <w:pStyle w:val="Compact"/>
            </w:pPr>
            <w:r>
              <w:t xml:space="preserve">19–22</w:t>
            </w:r>
          </w:p>
        </w:tc>
        <w:tc>
          <w:tcPr/>
          <w:p>
            <w:pPr>
              <w:pStyle w:val="Compact"/>
            </w:pPr>
            <w:r>
              <w:t xml:space="preserve">Amon’s Reign: Apostasy Entrenched</w:t>
            </w:r>
          </w:p>
        </w:tc>
      </w:tr>
      <w:tr>
        <w:tc>
          <w:tcPr/>
          <w:p>
            <w:pPr>
              <w:pStyle w:val="Compact"/>
            </w:pPr>
            <w:r>
              <w:t xml:space="preserve">5</w:t>
            </w:r>
          </w:p>
        </w:tc>
        <w:tc>
          <w:tcPr/>
          <w:p>
            <w:pPr>
              <w:pStyle w:val="Compact"/>
            </w:pPr>
            <w:r>
              <w:t xml:space="preserve">23–26</w:t>
            </w:r>
          </w:p>
        </w:tc>
        <w:tc>
          <w:tcPr/>
          <w:p>
            <w:pPr>
              <w:pStyle w:val="Compact"/>
            </w:pPr>
            <w:r>
              <w:t xml:space="preserve">Amon’s End: Conspiracy, Collapse, and Josiah’s Accession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Manasseh’s catastrophic apostasy seals Judah’s fate and demonstrates that covenant rebellion cannot be endlessly deferred.</w:t>
      </w:r>
    </w:p>
    <w:p>
      <w:pPr>
        <w:pStyle w:val="BodyText"/>
      </w:pPr>
      <w:r>
        <w:rPr>
          <w:b/>
          <w:bCs/>
        </w:rPr>
        <w:t xml:space="preserve">Primary Claim:</w:t>
      </w:r>
      <w:r>
        <w:t xml:space="preserve"> </w:t>
      </w:r>
      <w:r>
        <w:t xml:space="preserve">God is establishing through this passage that covenant sin — especially sin by covenant leaders — carries consequences that accumulate beyond any individual’s life, that divine patience should never be mistaken for divine permission, and that the LORD is utterly serious about His house, His name, and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leadership sin is never merely personal — it shapes the worship and patterns of entire communities for generations.</w:t>
      </w:r>
      <w:r>
        <w:t xml:space="preserve"> </w:t>
      </w:r>
      <w:r>
        <w:rPr>
          <w:i/>
          <w:iCs/>
        </w:rPr>
        <w:t xml:space="preserve">(Mind/Belief)</w:t>
      </w:r>
    </w:p>
    <w:p>
      <w:pPr>
        <w:pStyle w:val="BodyText"/>
      </w:pPr>
      <w:r>
        <w:t xml:space="preserve">Manasseh did not sin in isolation. Verse 9 says he</w:t>
      </w:r>
      <w:r>
        <w:t xml:space="preserve"> </w:t>
      </w:r>
      <w:r>
        <w:t xml:space="preserve">“led them astray”</w:t>
      </w:r>
      <w:r>
        <w:t xml:space="preserve"> </w:t>
      </w:r>
      <w:r>
        <w:t xml:space="preserve">— his personal apostasy became the community’s institutionalized practice. Those who hold any form of spiritual leadership — parents, pastors, elders, teachers — carry a weight that ordinary members do not. When a leader abandons faithful worship, normalizes theological compromise, or treats obedience as optional, the community learns from that example at a level deeper than words. This passage demands that leaders reckon with the question: what patterns am I establishing that others will inhabit long after I am gone?</w:t>
      </w:r>
    </w:p>
    <w:p>
      <w:pPr>
        <w:pStyle w:val="BodyText"/>
      </w:pPr>
      <w:r>
        <w:rPr>
          <w:b/>
          <w:bCs/>
        </w:rPr>
        <w:t xml:space="preserve">2. Do not mistake God’s patience for God’s indifference — the fifty-five years of Manasseh’s reign without immediate catastrophe was not divine tolerance but divine restraint, and restraint ends.</w:t>
      </w:r>
      <w:r>
        <w:t xml:space="preserve"> </w:t>
      </w:r>
      <w:r>
        <w:rPr>
          <w:i/>
          <w:iCs/>
        </w:rPr>
        <w:t xml:space="preserve">(Mind/Belief)</w:t>
      </w:r>
    </w:p>
    <w:p>
      <w:pPr>
        <w:pStyle w:val="BodyText"/>
      </w:pPr>
      <w:r>
        <w:t xml:space="preserve">Manasseh reigned for fifty-five years. There was no immediate lightning bolt, no rapid judgment, no visible sign that God was about to act. In a culture that measures divine approval by visible prosperity and divine disapproval by visible suffering, Manasseh’s long reign could easily have been misread as evidence that his idolatry carried no consequences. The passage destroys this reading: the LORD had already pronounced the verdict (vv. 10–15), and nothing about Manasseh’s long life altered it. God’s timing is not indifference. The person who looks at long-standing sin in their own life — or in the culture around them — and concludes that God has decided to overlook it has misread the text.</w:t>
      </w:r>
    </w:p>
    <w:p>
      <w:pPr>
        <w:pStyle w:val="BodyText"/>
      </w:pPr>
      <w:r>
        <w:rPr>
          <w:b/>
          <w:bCs/>
        </w:rPr>
        <w:t xml:space="preserve">3. Grieve the way sin, once institutionalized, outlasts the sinner who introduced it and burdens those who follow.</w:t>
      </w:r>
      <w:r>
        <w:t xml:space="preserve"> </w:t>
      </w:r>
      <w:r>
        <w:rPr>
          <w:i/>
          <w:iCs/>
        </w:rPr>
        <w:t xml:space="preserve">(Affections/Worship)</w:t>
      </w:r>
    </w:p>
    <w:p>
      <w:pPr>
        <w:pStyle w:val="BodyText"/>
      </w:pPr>
      <w:r>
        <w:t xml:space="preserve">Even if the Chronicles account of Manasseh’s repentance is genuine, it did not reverse the trajectory he had set. Amon walks in all his father’s ways (v. 21) — not reluctantly, but as the natural heir of a culture Manasseh built. And Jeremiah 15:4 makes the astonishing claim that Manasseh’s influence extends to Judah’s experience in exile — decades after his death. This should produce genuine grief and sober self-examination: the sins I normalize, the worship I abandon, the idols I maintain — what am I handing to those who will come after me? This is not an application that leads to despair but one that leads to repentance and urgency, motivated by love for those who will inherit what we leave behind.</w:t>
      </w:r>
    </w:p>
    <w:p>
      <w:pPr>
        <w:pStyle w:val="BodyText"/>
      </w:pPr>
      <w:r>
        <w:rPr>
          <w:b/>
          <w:bCs/>
        </w:rPr>
        <w:t xml:space="preserve">4. Refuse the cultural logic that assimilation to surrounding practices is neutral or inevitable — Manasseh’s sin is explicitly measured by what the surrounding nations did, and Israel was called to be different.</w:t>
      </w:r>
      <w:r>
        <w:t xml:space="preserve"> </w:t>
      </w:r>
      <w:r>
        <w:rPr>
          <w:i/>
          <w:iCs/>
        </w:rPr>
        <w:t xml:space="preserve">(Will/Behavior)</w:t>
      </w:r>
    </w:p>
    <w:p>
      <w:pPr>
        <w:pStyle w:val="BodyText"/>
      </w:pPr>
      <w:r>
        <w:t xml:space="preserve">The narrator measures Manasseh by</w:t>
      </w:r>
      <w:r>
        <w:t xml:space="preserve"> </w:t>
      </w:r>
      <w:r>
        <w:t xml:space="preserve">“the detestable practices of the nations the LORD had driven out”</w:t>
      </w:r>
      <w:r>
        <w:t xml:space="preserve"> </w:t>
      </w:r>
      <w:r>
        <w:t xml:space="preserve">(v. 2) — and concludes that Manasseh exceeded them (v. 9). The temptation in every generation is to treat the surrounding culture’s practices as the default and God’s covenant demands as the adjustment. Manasseh made that adjustment in the wrong direction. This has a concrete contemporary application: where are covenant people — in church, in family, in the shape of their weekly lives — importing the surrounding culture’s practices of worship, sexuality, financial priority, and Sabbath, and treating obedience as the unusual choice? The call is not to cultural isolation but to covenantal distinctiveness, grounded in genuine love for the God whose name dwells with His people.</w:t>
      </w:r>
    </w:p>
    <w:p>
      <w:pPr>
        <w:pStyle w:val="BodyText"/>
      </w:pPr>
      <w:r>
        <w:rPr>
          <w:b/>
          <w:bCs/>
        </w:rPr>
        <w:t xml:space="preserve">5. Bring your patterns of hidden or long-standing sin before God now — before they become the trajectory of those who follow you.</w:t>
      </w:r>
      <w:r>
        <w:t xml:space="preserve"> </w:t>
      </w:r>
      <w:r>
        <w:rPr>
          <w:i/>
          <w:iCs/>
        </w:rPr>
        <w:t xml:space="preserve">(Will/Behavior)</w:t>
      </w:r>
    </w:p>
    <w:p>
      <w:pPr>
        <w:pStyle w:val="BodyText"/>
      </w:pPr>
      <w:r>
        <w:t xml:space="preserve">Manasseh’s sin was eventually catalogued in unsparing detail. Nothing was hidden; everything was named. The covenantal logic of this passage presses toward an urgent present-tense application: the time to address sin patterns is before they become institutions, before they shape the next generation, before the divine patience runs its appointed course. This is not an application of fear but of mercy — the very fact that God announced judgment through the prophets (v. 10) before it fell was an act of warning, which is itself a form of grace. Come now. Repent now. Do not let what you have normalized become the spiritual inheritance of those who come after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21 teaches with unusual clarity that God is absolutely committed to His own glory as expressed in the holiness of His covenant people, His name, and His house. The specificity of the divine verdict (vv. 10–15) demonstrates that God is not a passive observer of human history who responds to events reactively — He is a covenant Lord who speaks through His prophets, holds His people accountable to stated terms, and executes exactly what He promised when those terms are violated. The passage also establishes that sin is not merely individual but covenantal and communal — Manasseh’s apostasy contaminates the people he leads, the space he defiles, and the generations he shapes. This is a robust theology of covenant solidarity: the leader’s spiritual condition is not separable from the community’s spiritual condition. Finally, the passage teaches that divine judgment is proportionate and just — the standard is not abstract but covenantal: Israel was told, Israel knew, Israel had been warned repeatedly, and the judgment corresponds exactly to the terms of the covenant broken.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critical text for the Reformed understanding of total depravity applied at the covenantal and national level. Manasseh’s reign is not the story of a man who drifted from faith — it is the story of comprehensive, willful, and accelerating rejection of covenant light by someone who had more revelation and more gracious precedent (his father Hezekiah’s revival) than nearly any king before him. The passage also grounds the Reformed insistence that God’s sovereignty extends over judgment as well as blessing — the exile announced in vv. 10–15 is not the failure of God’s plan but its fulfillment: covenant curses are as much expressions of divine faithfulness as covenant blessings. The absence of Manasseh’s repentance in Kings (in contrast to Chronicles) invites a distinctly Reformed reflection on the relationship between individual salvation and covenantal/historical consequences — a regenerate Manasseh does not undo an apostate nation’s trajectory. Finally, the passage’s prophetic oracle (vv. 10–15) models the Reformed understanding of Scripture as God’s own word spoken through human instruments, holding the community accountable to a standard they cannot argue away.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takes His house, His name, and His people with absolute seriousness — and the fifty-five years of Manasseh’s unpunished wickedness was not permission but patience, which had an expiration. The leaders and people who build their lives on practices that defile what God has called holy do not get away with it; they merely delay the accounting while multiplying the damage to those who follow them. Come clean now, before the pattern becomes the inheritance.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morality tale about a bad king.</w:t>
      </w:r>
      <w:r>
        <w:t xml:space="preserve"> </w:t>
      </w:r>
      <w:r>
        <w:t xml:space="preserve">The temptation is to preach 2 Kings 21 as a historical biography —</w:t>
      </w:r>
      <w:r>
        <w:t xml:space="preserve"> </w:t>
      </w:r>
      <w:r>
        <w:t xml:space="preserve">“here is an evil king, don’t be like him”</w:t>
      </w:r>
      <w:r>
        <w:t xml:space="preserve"> </w:t>
      </w:r>
      <w:r>
        <w:t xml:space="preserve">— which produces exactly the moralism the anti-moralism principle guards against. Manasseh’s wickedness is not the point; the LORD’s covenant faithfulness and the seriousness of covenant accountability are the point. The sermon must arrive at God before it can use Manasseh effectively.</w:t>
      </w:r>
    </w:p>
    <w:p>
      <w:pPr>
        <w:numPr>
          <w:ilvl w:val="0"/>
          <w:numId w:val="1002"/>
        </w:numPr>
      </w:pPr>
      <w:r>
        <w:rPr>
          <w:b/>
          <w:bCs/>
        </w:rPr>
        <w:t xml:space="preserve">Importing 2 Chronicles 33 into 2 Kings 21 and softening the judgment.</w:t>
      </w:r>
      <w:r>
        <w:t xml:space="preserve"> </w:t>
      </w:r>
      <w:r>
        <w:t xml:space="preserve">Preachers aware of Manasseh’s repentance in Chronicles are often tempted to soften 2 Kings 21 with</w:t>
      </w:r>
      <w:r>
        <w:t xml:space="preserve"> </w:t>
      </w:r>
      <w:r>
        <w:t xml:space="preserve">“but don’t worry, he eventually repented.”</w:t>
      </w:r>
      <w:r>
        <w:t xml:space="preserve"> </w:t>
      </w:r>
      <w:r>
        <w:t xml:space="preserve">This imports a conclusion the Kings text intentionally withholds and destroys the passage’s Primary Claim. The Chronicles account is real and valuable in its own context. 2 Kings 21 is making a different and equally necessary claim: personal repentance does not reverse institutionalized apostasy or its covenantal consequences. Handle each text in its own context.</w:t>
      </w:r>
    </w:p>
    <w:p>
      <w:pPr>
        <w:numPr>
          <w:ilvl w:val="0"/>
          <w:numId w:val="1002"/>
        </w:numPr>
      </w:pPr>
      <w:r>
        <w:rPr>
          <w:b/>
          <w:bCs/>
        </w:rPr>
        <w:t xml:space="preserve">Failing to name the specific forms of contemporary idolatry.</w:t>
      </w:r>
      <w:r>
        <w:t xml:space="preserve"> </w:t>
      </w:r>
      <w:r>
        <w:t xml:space="preserve">If the application of this passage produces only vague exhortations to</w:t>
      </w:r>
      <w:r>
        <w:t xml:space="preserve"> </w:t>
      </w:r>
      <w:r>
        <w:t xml:space="preserve">“avoid compromise”</w:t>
      </w:r>
      <w:r>
        <w:t xml:space="preserve"> </w:t>
      </w:r>
      <w:r>
        <w:t xml:space="preserve">or</w:t>
      </w:r>
      <w:r>
        <w:t xml:space="preserve"> </w:t>
      </w:r>
      <w:r>
        <w:t xml:space="preserve">“stay faithful,”</w:t>
      </w:r>
      <w:r>
        <w:t xml:space="preserve"> </w:t>
      </w:r>
      <w:r>
        <w:t xml:space="preserve">the preacher has not gone far enough. Manasseh’s sins are named with horrifying specificity. The sermon should name with comparable specificity what</w:t>
      </w:r>
      <w:r>
        <w:t xml:space="preserve"> </w:t>
      </w:r>
      <w:r>
        <w:t xml:space="preserve">“rebuilding the high places,”</w:t>
      </w:r>
      <w:r>
        <w:t xml:space="preserve"> </w:t>
      </w:r>
      <w:r>
        <w:t xml:space="preserve">“desecrating the temple,”</w:t>
      </w:r>
      <w:r>
        <w:t xml:space="preserve"> </w:t>
      </w:r>
      <w:r>
        <w:t xml:space="preserve">and</w:t>
      </w:r>
      <w:r>
        <w:t xml:space="preserve"> </w:t>
      </w:r>
      <w:r>
        <w:t xml:space="preserve">“shedding innocent blood”</w:t>
      </w:r>
      <w:r>
        <w:t xml:space="preserve"> </w:t>
      </w:r>
      <w:r>
        <w:t xml:space="preserve">look like in the congregation’s actual life — including the worship of comfort, the normalization of sexual disorder, the sacrifice of children to cultural convenience, and the filling of sacred space (Sunday, the gathered church, the home) with competing allegiances.</w:t>
      </w:r>
    </w:p>
    <w:p>
      <w:pPr>
        <w:numPr>
          <w:ilvl w:val="0"/>
          <w:numId w:val="1002"/>
        </w:numPr>
      </w:pPr>
      <w:r>
        <w:rPr>
          <w:b/>
          <w:bCs/>
        </w:rPr>
        <w:t xml:space="preserve">Treating the fifty-five-year reign as evidence that God was absent.</w:t>
      </w:r>
      <w:r>
        <w:t xml:space="preserve"> </w:t>
      </w:r>
      <w:r>
        <w:t xml:space="preserve">A congregation shaped by prosperity theology or cause-and-effect thinking may assume that Manasseh’s long reign meant God was either absent or unconcerned. The preacher must explicitly address this: God’s timing is not human timing; the divine verdict (vv. 10–15) was spoken before judgment fell; long patience is not permanent permission.</w:t>
      </w:r>
    </w:p>
    <w:p>
      <w:pPr>
        <w:numPr>
          <w:ilvl w:val="0"/>
          <w:numId w:val="1002"/>
        </w:numPr>
      </w:pPr>
      <w:r>
        <w:rPr>
          <w:b/>
          <w:bCs/>
        </w:rPr>
        <w:t xml:space="preserve">Missing the communal and generational dimension.</w:t>
      </w:r>
      <w:r>
        <w:t xml:space="preserve"> </w:t>
      </w:r>
      <w:r>
        <w:t xml:space="preserve">Preaching this passage exclusively as a warning to individuals misses one of its most load-bearing themes: Manasseh’s sin was a leadership sin with communal consequences. The application must address what leaders — broadly construed to include parents, pastors, elders, teachers, and employers — leave behind, not merely what they personally experience.</w:t>
      </w:r>
    </w:p>
    <w:p>
      <w:pPr>
        <w:numPr>
          <w:ilvl w:val="0"/>
          <w:numId w:val="1002"/>
        </w:numPr>
      </w:pPr>
      <w:r>
        <w:rPr>
          <w:b/>
          <w:bCs/>
        </w:rPr>
        <w:t xml:space="preserve">Bypassing the text’s canonical placement in the arc toward exile.</w:t>
      </w:r>
      <w:r>
        <w:t xml:space="preserve"> </w:t>
      </w:r>
      <w:r>
        <w:t xml:space="preserve">Second Kings 21 sits at a pivotal moment in the Kings narrative — between Hezekiah’s remarkable revival and Josiah’s reforms, yet here the text asserts that Josiah’s reforms will not be sufficient to reverse what Manasseh set in motion (cf. 2 Kings 23:26–27). Preachers should help congregations see that they are reading a passage that explains why the people of God went into exile — which is ultimately part of the story that ends in the return from exile, the remnant, and the One who takes the covenant curses upon Himself in place of His people.</w:t>
      </w:r>
    </w:p>
    <w:p>
      <w:r>
        <w:pict>
          <v:rect style="width:0;height:1.5pt" o:hralign="center" o:hrstd="t" o:hr="t"/>
        </w:pict>
      </w:r>
    </w:p>
    <w:p>
      <w:pPr>
        <w:pStyle w:val="FirstParagraph"/>
      </w:pPr>
      <w:r>
        <w:rPr>
          <w:i/>
          <w:iCs/>
        </w:rPr>
        <w:t xml:space="preserve">Document: 12 2Kings 21.docx | Framework: CLAUDE2.md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2026-07-14T21:03:09Z</dcterms:created>
  <dcterms:modified xsi:type="dcterms:W3CDTF">2026-07-14T21:03:09Z</dcterms:modified>
</cp:coreProperties>
</file>

<file path=docProps/custom.xml><?xml version="1.0" encoding="utf-8"?>
<Properties xmlns="http://schemas.openxmlformats.org/officeDocument/2006/custom-properties" xmlns:vt="http://schemas.openxmlformats.org/officeDocument/2006/docPropsVTypes"/>
</file>